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e57040b8046e5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26008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DJEČJI VRTIĆ DUBRAVA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IX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268.096,66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340.860,77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127,1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266.163,03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352.960,10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132,6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12.099,33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1.837,20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3.174,05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172,8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1.837,20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3.174,05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172,8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15.273,38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Y005 – Manjak prihoda i primitaka 15.273,38 EUR čini razliku između ukupnih prihoda X678 340.860,77 EUR i ukupnih rashoda Y345 356.134,15 EUR. Navedeni manjak razdoblja je iz više razloga: radionice engleskog jezika koje su bile dio pilot projekta Ministarstva demografije i useljeništva za koje je Općina Dubrava ostvarila sredstva za financiranje u 2024. godini provodile su se u razdoblju od 11/24 do 05/25, a sredstva su uplaćena u 2024 godini za cijelo vrijeme. Shodno tome u 2024. godini iskazan je višak prihoda, a sada u izvještajnom razdoblju su realizirani troškovi za 5 mjeseci. Sljedeći razlog manjka prihoda i rashoda u izvještajnom razdoblju je izvanredna ostavka ravnateljice i u prijelaznom razdoblju tijekom mjeseca rujna, zaduženja za novoupisanu djecu su išla krajem rujna te roditelji nisu bili u mogućnosti uobičajenom dinamikom izvršavati plaćanje svojih obveza, a prihodi se, prema proračunskom računovodstvu, priznaju po novčanom načelu.</w:t>
      </w:r>
    </w:p>
    <w:p>
      <w:r>
        <w:br/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8ad3f0e72483f" /></Relationships>
</file>